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09" w:rsidRDefault="00E325E1" w:rsidP="00FA528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5623560</wp:posOffset>
            </wp:positionH>
            <wp:positionV relativeFrom="paragraph">
              <wp:posOffset>-457835</wp:posOffset>
            </wp:positionV>
            <wp:extent cx="148590" cy="170180"/>
            <wp:effectExtent l="0" t="0" r="3810" b="1270"/>
            <wp:wrapThrough wrapText="bothSides">
              <wp:wrapPolygon edited="0">
                <wp:start x="0" y="0"/>
                <wp:lineTo x="0" y="19343"/>
                <wp:lineTo x="19385" y="19343"/>
                <wp:lineTo x="19385" y="0"/>
                <wp:lineTo x="0" y="0"/>
              </wp:wrapPolygon>
            </wp:wrapThrough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609" w:rsidRPr="00FA5288">
        <w:rPr>
          <w:rFonts w:ascii="Times New Roman" w:hAnsi="Times New Roman"/>
          <w:b/>
          <w:sz w:val="28"/>
          <w:szCs w:val="28"/>
        </w:rPr>
        <w:t>ELUCIDAÇÃO DA RELAÇÃO DO RISCO-BENEFÍCIO NA TERAPIA ANTITABAGISMO CO</w:t>
      </w:r>
      <w:r w:rsidR="00D23609">
        <w:rPr>
          <w:rFonts w:ascii="Times New Roman" w:hAnsi="Times New Roman"/>
          <w:b/>
          <w:sz w:val="28"/>
          <w:szCs w:val="28"/>
        </w:rPr>
        <w:t>M CHAMPIX PARA DISCENTES DA UFPB</w:t>
      </w:r>
    </w:p>
    <w:p w:rsidR="009E075F" w:rsidRDefault="00D23609" w:rsidP="009E075F">
      <w:pPr>
        <w:pStyle w:val="Ttulo1"/>
        <w:spacing w:before="0" w:beforeAutospacing="0" w:after="0" w:afterAutospacing="0"/>
        <w:jc w:val="right"/>
        <w:rPr>
          <w:b w:val="0"/>
          <w:sz w:val="24"/>
          <w:szCs w:val="24"/>
        </w:rPr>
      </w:pPr>
      <w:proofErr w:type="gramStart"/>
      <w:r w:rsidRPr="00FA0C1D">
        <w:rPr>
          <w:b w:val="0"/>
          <w:sz w:val="24"/>
          <w:szCs w:val="24"/>
          <w:vertAlign w:val="superscript"/>
        </w:rPr>
        <w:t>2</w:t>
      </w:r>
      <w:proofErr w:type="gramEnd"/>
      <w:r>
        <w:rPr>
          <w:b w:val="0"/>
          <w:sz w:val="24"/>
          <w:szCs w:val="24"/>
        </w:rPr>
        <w:t xml:space="preserve"> </w:t>
      </w:r>
      <w:r w:rsidRPr="005B1E71">
        <w:rPr>
          <w:b w:val="0"/>
          <w:sz w:val="24"/>
          <w:szCs w:val="24"/>
        </w:rPr>
        <w:t xml:space="preserve">Renan Marinho Braga; </w:t>
      </w:r>
      <w:r w:rsidR="009E075F" w:rsidRPr="009E075F">
        <w:rPr>
          <w:b w:val="0"/>
          <w:sz w:val="24"/>
          <w:szCs w:val="24"/>
          <w:vertAlign w:val="superscript"/>
        </w:rPr>
        <w:t>1</w:t>
      </w:r>
      <w:r w:rsidR="009E075F">
        <w:rPr>
          <w:b w:val="0"/>
          <w:sz w:val="24"/>
          <w:szCs w:val="24"/>
          <w:vertAlign w:val="superscript"/>
        </w:rPr>
        <w:t xml:space="preserve"> </w:t>
      </w:r>
      <w:r w:rsidR="009E075F" w:rsidRPr="009E075F">
        <w:rPr>
          <w:b w:val="0"/>
          <w:sz w:val="24"/>
          <w:szCs w:val="24"/>
        </w:rPr>
        <w:t xml:space="preserve">Iara Leão Luna de Souza; </w:t>
      </w:r>
      <w:r w:rsidRPr="00FA0C1D">
        <w:rPr>
          <w:b w:val="0"/>
          <w:sz w:val="24"/>
          <w:szCs w:val="24"/>
          <w:vertAlign w:val="superscript"/>
        </w:rPr>
        <w:t>3</w:t>
      </w:r>
      <w:r>
        <w:rPr>
          <w:b w:val="0"/>
          <w:sz w:val="24"/>
          <w:szCs w:val="24"/>
        </w:rPr>
        <w:t xml:space="preserve"> </w:t>
      </w:r>
      <w:proofErr w:type="spellStart"/>
      <w:r w:rsidRPr="005B1E71">
        <w:rPr>
          <w:b w:val="0"/>
          <w:sz w:val="24"/>
          <w:szCs w:val="24"/>
        </w:rPr>
        <w:t>Nadja</w:t>
      </w:r>
      <w:proofErr w:type="spellEnd"/>
      <w:r w:rsidRPr="005B1E71">
        <w:rPr>
          <w:b w:val="0"/>
          <w:sz w:val="24"/>
          <w:szCs w:val="24"/>
        </w:rPr>
        <w:t xml:space="preserve"> de </w:t>
      </w:r>
      <w:proofErr w:type="spellStart"/>
      <w:r w:rsidRPr="005B1E71">
        <w:rPr>
          <w:b w:val="0"/>
          <w:sz w:val="24"/>
          <w:szCs w:val="24"/>
        </w:rPr>
        <w:t>Azevêdo</w:t>
      </w:r>
      <w:proofErr w:type="spellEnd"/>
      <w:r w:rsidRPr="005B1E71">
        <w:rPr>
          <w:b w:val="0"/>
          <w:sz w:val="24"/>
          <w:szCs w:val="24"/>
        </w:rPr>
        <w:t xml:space="preserve"> Correia; </w:t>
      </w:r>
    </w:p>
    <w:p w:rsidR="009E075F" w:rsidRDefault="00D23609" w:rsidP="009E075F">
      <w:pPr>
        <w:pStyle w:val="Ttulo1"/>
        <w:spacing w:before="0" w:beforeAutospacing="0" w:after="0" w:afterAutospacing="0"/>
        <w:jc w:val="right"/>
        <w:rPr>
          <w:b w:val="0"/>
          <w:sz w:val="24"/>
          <w:szCs w:val="24"/>
        </w:rPr>
      </w:pPr>
      <w:proofErr w:type="gramStart"/>
      <w:r w:rsidRPr="00FA0C1D">
        <w:rPr>
          <w:b w:val="0"/>
          <w:sz w:val="24"/>
          <w:szCs w:val="24"/>
          <w:vertAlign w:val="superscript"/>
        </w:rPr>
        <w:t>3</w:t>
      </w:r>
      <w:proofErr w:type="gramEnd"/>
      <w:r>
        <w:rPr>
          <w:b w:val="0"/>
          <w:sz w:val="24"/>
          <w:szCs w:val="24"/>
        </w:rPr>
        <w:t xml:space="preserve"> </w:t>
      </w:r>
      <w:hyperlink r:id="rId9" w:history="1">
        <w:proofErr w:type="spellStart"/>
        <w:r w:rsidRPr="005B1E71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Katy</w:t>
        </w:r>
        <w:proofErr w:type="spellEnd"/>
        <w:r w:rsidRPr="005B1E71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B1E71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Lísias</w:t>
        </w:r>
        <w:proofErr w:type="spellEnd"/>
        <w:r w:rsidRPr="005B1E71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 xml:space="preserve"> Gondim Dias de Albuquerque</w:t>
        </w:r>
      </w:hyperlink>
      <w:r w:rsidRPr="005B1E71">
        <w:rPr>
          <w:b w:val="0"/>
          <w:sz w:val="24"/>
          <w:szCs w:val="24"/>
        </w:rPr>
        <w:t xml:space="preserve">; </w:t>
      </w:r>
      <w:r w:rsidRPr="00FA0C1D">
        <w:rPr>
          <w:b w:val="0"/>
          <w:sz w:val="24"/>
          <w:szCs w:val="24"/>
          <w:vertAlign w:val="superscript"/>
        </w:rPr>
        <w:t>4</w:t>
      </w:r>
      <w:r w:rsidRPr="005B1E71">
        <w:rPr>
          <w:b w:val="0"/>
          <w:sz w:val="24"/>
          <w:szCs w:val="24"/>
        </w:rPr>
        <w:t xml:space="preserve">Ataíde Matias de Oliveira, </w:t>
      </w:r>
    </w:p>
    <w:p w:rsidR="00D23609" w:rsidRDefault="00D23609" w:rsidP="009E075F">
      <w:pPr>
        <w:pStyle w:val="Ttulo1"/>
        <w:spacing w:before="0" w:beforeAutospacing="0" w:after="0" w:afterAutospacing="0"/>
        <w:jc w:val="right"/>
        <w:rPr>
          <w:b w:val="0"/>
          <w:sz w:val="24"/>
          <w:szCs w:val="24"/>
        </w:rPr>
      </w:pPr>
      <w:proofErr w:type="gramStart"/>
      <w:r w:rsidRPr="00FA0C1D">
        <w:rPr>
          <w:b w:val="0"/>
          <w:sz w:val="24"/>
          <w:szCs w:val="24"/>
          <w:vertAlign w:val="superscript"/>
        </w:rPr>
        <w:t>5</w:t>
      </w:r>
      <w:proofErr w:type="gramEnd"/>
      <w:r>
        <w:rPr>
          <w:b w:val="0"/>
          <w:sz w:val="24"/>
          <w:szCs w:val="24"/>
        </w:rPr>
        <w:t xml:space="preserve"> </w:t>
      </w:r>
      <w:r w:rsidRPr="005B1E71">
        <w:rPr>
          <w:b w:val="0"/>
          <w:sz w:val="24"/>
          <w:szCs w:val="24"/>
        </w:rPr>
        <w:t>Diego Nunes Guedes</w:t>
      </w:r>
    </w:p>
    <w:p w:rsidR="009E075F" w:rsidRPr="005B1E71" w:rsidRDefault="009E075F" w:rsidP="009E075F">
      <w:pPr>
        <w:pStyle w:val="Ttulo1"/>
        <w:spacing w:before="0" w:beforeAutospacing="0" w:after="0" w:afterAutospacing="0"/>
        <w:jc w:val="right"/>
        <w:rPr>
          <w:b w:val="0"/>
          <w:sz w:val="24"/>
          <w:szCs w:val="24"/>
          <w:vertAlign w:val="superscript"/>
        </w:rPr>
      </w:pPr>
    </w:p>
    <w:p w:rsidR="00D23609" w:rsidRPr="00FA5288" w:rsidRDefault="00D23609" w:rsidP="00016EB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85E97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Monitor Bolsista, </w:t>
      </w:r>
      <w:r w:rsidRPr="00A85E97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Monitor Voluntário, </w:t>
      </w:r>
      <w:r w:rsidRPr="00A85E97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Professores Colaboradores,</w:t>
      </w:r>
      <w:r w:rsidRPr="00FA52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/>
          <w:sz w:val="24"/>
          <w:szCs w:val="24"/>
        </w:rPr>
        <w:t>Técnico</w:t>
      </w:r>
      <w:r w:rsidRPr="00FA5288">
        <w:rPr>
          <w:rFonts w:ascii="Times New Roman" w:hAnsi="Times New Roman"/>
          <w:sz w:val="24"/>
          <w:szCs w:val="24"/>
        </w:rPr>
        <w:t xml:space="preserve"> colab</w:t>
      </w:r>
      <w:r>
        <w:rPr>
          <w:rFonts w:ascii="Times New Roman" w:hAnsi="Times New Roman"/>
          <w:sz w:val="24"/>
          <w:szCs w:val="24"/>
        </w:rPr>
        <w:t>orador</w:t>
      </w:r>
      <w:r w:rsidRPr="00FA52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Professor </w:t>
      </w:r>
      <w:r w:rsidRPr="00FA5288">
        <w:rPr>
          <w:rFonts w:ascii="Times New Roman" w:hAnsi="Times New Roman"/>
          <w:sz w:val="24"/>
          <w:szCs w:val="24"/>
        </w:rPr>
        <w:t>Orientador</w:t>
      </w:r>
      <w:r>
        <w:rPr>
          <w:rFonts w:ascii="Times New Roman" w:hAnsi="Times New Roman"/>
          <w:sz w:val="24"/>
          <w:szCs w:val="24"/>
        </w:rPr>
        <w:t>/Coordenador do Projeto</w:t>
      </w:r>
    </w:p>
    <w:p w:rsidR="00D23609" w:rsidRPr="00CE1C0D" w:rsidRDefault="00D23609" w:rsidP="00FA528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5288">
        <w:rPr>
          <w:rFonts w:ascii="Times New Roman" w:hAnsi="Times New Roman"/>
          <w:sz w:val="24"/>
          <w:szCs w:val="24"/>
        </w:rPr>
        <w:t>Centro de Ciências da Saúde - Departamento de Fisiologia e Patologia – MONITORIA Farmacologia</w:t>
      </w:r>
      <w:bookmarkStart w:id="0" w:name="_GoBack"/>
      <w:bookmarkEnd w:id="0"/>
    </w:p>
    <w:p w:rsidR="00D23609" w:rsidRPr="00FA5288" w:rsidRDefault="00D23609" w:rsidP="00FA528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A5288">
        <w:rPr>
          <w:rFonts w:ascii="Times New Roman" w:hAnsi="Times New Roman"/>
          <w:b/>
          <w:sz w:val="24"/>
          <w:szCs w:val="24"/>
        </w:rPr>
        <w:t>INTRODUÇÃO</w:t>
      </w:r>
    </w:p>
    <w:p w:rsidR="00D23609" w:rsidRPr="00FA5288" w:rsidRDefault="00D23609" w:rsidP="00FA528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A5288">
        <w:rPr>
          <w:rFonts w:ascii="Times New Roman" w:hAnsi="Times New Roman"/>
          <w:color w:val="000000"/>
          <w:sz w:val="24"/>
          <w:szCs w:val="24"/>
        </w:rPr>
        <w:t>Vareniclina</w:t>
      </w:r>
      <w:proofErr w:type="spellEnd"/>
      <w:r w:rsidRPr="00FA5288">
        <w:rPr>
          <w:rFonts w:ascii="Times New Roman" w:hAnsi="Times New Roman"/>
          <w:color w:val="000000"/>
          <w:sz w:val="24"/>
          <w:szCs w:val="24"/>
        </w:rPr>
        <w:t xml:space="preserve"> é um medicamento antitabagismo lançado em </w:t>
      </w:r>
      <w:proofErr w:type="gramStart"/>
      <w:r w:rsidRPr="00FA5288">
        <w:rPr>
          <w:rFonts w:ascii="Times New Roman" w:hAnsi="Times New Roman"/>
          <w:color w:val="000000"/>
          <w:sz w:val="24"/>
          <w:szCs w:val="24"/>
        </w:rPr>
        <w:t>2007 pelo laboratório Pfizer</w:t>
      </w:r>
      <w:proofErr w:type="gramEnd"/>
      <w:r w:rsidRPr="00FA5288">
        <w:rPr>
          <w:rFonts w:ascii="Times New Roman" w:hAnsi="Times New Roman"/>
          <w:color w:val="000000"/>
          <w:sz w:val="24"/>
          <w:szCs w:val="24"/>
        </w:rPr>
        <w:t xml:space="preserve">, com o nome comercial de </w:t>
      </w:r>
      <w:proofErr w:type="spellStart"/>
      <w:r w:rsidRPr="00FA5288">
        <w:rPr>
          <w:rFonts w:ascii="Times New Roman" w:hAnsi="Times New Roman"/>
          <w:color w:val="000000"/>
          <w:sz w:val="24"/>
          <w:szCs w:val="24"/>
        </w:rPr>
        <w:t>Champix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FA5288">
        <w:rPr>
          <w:rFonts w:ascii="Times New Roman" w:hAnsi="Times New Roman"/>
          <w:color w:val="000000"/>
          <w:sz w:val="24"/>
          <w:szCs w:val="24"/>
        </w:rPr>
        <w:t xml:space="preserve"> De acordo com as revisões analisadas, a </w:t>
      </w:r>
      <w:proofErr w:type="spellStart"/>
      <w:r w:rsidRPr="00FA5288">
        <w:rPr>
          <w:rFonts w:ascii="Times New Roman" w:hAnsi="Times New Roman"/>
          <w:color w:val="000000"/>
          <w:sz w:val="24"/>
          <w:szCs w:val="24"/>
        </w:rPr>
        <w:t>vareniclina</w:t>
      </w:r>
      <w:proofErr w:type="spellEnd"/>
      <w:r w:rsidRPr="00FA5288">
        <w:rPr>
          <w:rFonts w:ascii="Times New Roman" w:hAnsi="Times New Roman"/>
          <w:color w:val="000000"/>
          <w:sz w:val="24"/>
          <w:szCs w:val="24"/>
        </w:rPr>
        <w:t xml:space="preserve"> é eficaz no tratamento antitabagismo, obtendo-se um bom nível de abstinência nos primeiros meses, entretanto, este benefício inicial decai ao longo do tempo. São necessário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FA5288">
        <w:rPr>
          <w:rFonts w:ascii="Times New Roman" w:hAnsi="Times New Roman"/>
          <w:color w:val="000000"/>
          <w:sz w:val="24"/>
          <w:szCs w:val="24"/>
        </w:rPr>
        <w:t xml:space="preserve"> mais estudos clínicos e pós-venda para confirmar a tolerabilidade e a eficácia deste medicamento, principalmente, em grupos de pacientes com </w:t>
      </w:r>
      <w:proofErr w:type="spellStart"/>
      <w:proofErr w:type="gramStart"/>
      <w:r w:rsidRPr="00FA5288">
        <w:rPr>
          <w:rFonts w:ascii="Times New Roman" w:hAnsi="Times New Roman"/>
          <w:color w:val="000000"/>
          <w:sz w:val="24"/>
          <w:szCs w:val="24"/>
        </w:rPr>
        <w:t>co-morbidades</w:t>
      </w:r>
      <w:proofErr w:type="spellEnd"/>
      <w:proofErr w:type="gramEnd"/>
      <w:r w:rsidRPr="00FA5288">
        <w:rPr>
          <w:rFonts w:ascii="Times New Roman" w:hAnsi="Times New Roman"/>
          <w:color w:val="000000"/>
          <w:sz w:val="24"/>
          <w:szCs w:val="24"/>
        </w:rPr>
        <w:t xml:space="preserve"> como doenças cardíacas ou distúrbios psiquiátricos que não foram incluídos na maioria dos estudos.</w:t>
      </w:r>
    </w:p>
    <w:p w:rsidR="00D23609" w:rsidRPr="00FA5288" w:rsidRDefault="00D23609" w:rsidP="00FA52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/>
          <w:sz w:val="24"/>
          <w:szCs w:val="24"/>
          <w:lang w:eastAsia="pt-BR"/>
        </w:rPr>
      </w:pPr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O tabagismo é considerado pela Organização Mundial da Saúde (OMS) a principal causa de morte evitável em todo o mundo. A estimativa da OMS é que um terço da população mundial adulta, em torno de um bilhão e duzentos milhões de pessoas - das quais duzentos milhões são mulheres - sejam fumantes. </w:t>
      </w:r>
    </w:p>
    <w:p w:rsidR="00D23609" w:rsidRPr="00FA5288" w:rsidRDefault="00D23609" w:rsidP="00FA52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/>
          <w:sz w:val="24"/>
          <w:szCs w:val="24"/>
          <w:lang w:eastAsia="pt-BR"/>
        </w:rPr>
      </w:pPr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A prevalência do uso do tabaco pode ser consequência de tradições populares ou modismos e, muitas vezes, é estimulada pela mídia ou pelo apelo econômico do setor industrial</w:t>
      </w:r>
      <w:r>
        <w:rPr>
          <w:rFonts w:ascii="Times New Roman" w:eastAsia="TimesNewRomanPSMT" w:hAnsi="Times New Roman"/>
          <w:sz w:val="24"/>
          <w:szCs w:val="24"/>
          <w:vertAlign w:val="superscript"/>
          <w:lang w:eastAsia="pt-BR"/>
        </w:rPr>
        <w:t>1</w:t>
      </w:r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. No Brasil foi realizada uma pesquisa pelo Instituto Nacional do Câncer (INCA)</w:t>
      </w:r>
      <w:proofErr w:type="gramStart"/>
      <w:r>
        <w:rPr>
          <w:rFonts w:ascii="Times New Roman" w:eastAsia="TimesNewRomanPSMT" w:hAnsi="Times New Roman"/>
          <w:sz w:val="24"/>
          <w:szCs w:val="24"/>
          <w:vertAlign w:val="superscript"/>
          <w:lang w:eastAsia="pt-BR"/>
        </w:rPr>
        <w:t>2</w:t>
      </w:r>
      <w:proofErr w:type="gramEnd"/>
      <w:r w:rsidRPr="00FA5288">
        <w:rPr>
          <w:rFonts w:ascii="Times New Roman" w:eastAsia="TimesNewRomanPSMT" w:hAnsi="Times New Roman"/>
          <w:sz w:val="24"/>
          <w:szCs w:val="24"/>
          <w:vertAlign w:val="superscript"/>
          <w:lang w:eastAsia="pt-BR"/>
        </w:rPr>
        <w:t xml:space="preserve"> </w:t>
      </w:r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entre os anos de 2002 e 2003 que estimou a prevalência, total e por sexo, do tabagismo. O maior percentual de fumantes foi encontrado em Porto Alegre, com 25,2% e o menor percentual foi de 12,9% em Aracaju. Constatou-se que as cidades menos populosas e menos industrializadas apresentaram percentuais menores de fumantes e, em todas as cidades, a estimativa pontual do percentual de fumantes foi maior entre os homens quando comparados com as mulheres</w:t>
      </w:r>
      <w:r>
        <w:rPr>
          <w:rFonts w:ascii="Times New Roman" w:eastAsia="TimesNewRomanPSMT" w:hAnsi="Times New Roman"/>
          <w:sz w:val="24"/>
          <w:szCs w:val="24"/>
          <w:vertAlign w:val="superscript"/>
          <w:lang w:eastAsia="pt-BR"/>
        </w:rPr>
        <w:t>3</w:t>
      </w:r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.</w:t>
      </w:r>
    </w:p>
    <w:p w:rsidR="00D23609" w:rsidRPr="00FA5288" w:rsidRDefault="00D23609" w:rsidP="00FA52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/>
          <w:sz w:val="24"/>
          <w:szCs w:val="24"/>
          <w:lang w:eastAsia="pt-BR"/>
        </w:rPr>
      </w:pPr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lastRenderedPageBreak/>
        <w:t>Segundo Frances &amp; Franklin Jr.</w:t>
      </w:r>
      <w:r>
        <w:rPr>
          <w:rFonts w:ascii="Times New Roman" w:eastAsia="TimesNewRomanPSMT" w:hAnsi="Times New Roman"/>
          <w:sz w:val="24"/>
          <w:szCs w:val="24"/>
          <w:vertAlign w:val="superscript"/>
          <w:lang w:eastAsia="pt-BR"/>
        </w:rPr>
        <w:t>4</w:t>
      </w:r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, o álcool e o tabaco continuam sendo as substancias mais usadas e abusadas e as que impõem maior risco a saúde. Entre as inúmeras consequências do fumo, pode-se citar a interação com outras substancias químicas, como é o caso dos medicamentos, já que os componentes do cigarro podem reduzir o nível plasmático de vários fármacos, como os antidepressivos e os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antipsicóticos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 pela indução de enzimas hepaticas</w:t>
      </w:r>
      <w:r>
        <w:rPr>
          <w:rFonts w:ascii="Times New Roman" w:eastAsia="TimesNewRomanPSMT" w:hAnsi="Times New Roman"/>
          <w:sz w:val="24"/>
          <w:szCs w:val="24"/>
          <w:vertAlign w:val="superscript"/>
          <w:lang w:eastAsia="pt-BR"/>
        </w:rPr>
        <w:t>5</w:t>
      </w:r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. A aspiração direta (fumantes ativos) ou indireta (fumantes passivos) de ar poluído no momento do fumo traz inúmeras consequências graves à saúde e, portanto, ha um intenso esforço mundial no sentido de promover a cessação do tabagismo mediante o emprego de múltiplas estratégias</w:t>
      </w:r>
      <w:r>
        <w:rPr>
          <w:rFonts w:ascii="Times New Roman" w:eastAsia="TimesNewRomanPSMT" w:hAnsi="Times New Roman"/>
          <w:sz w:val="24"/>
          <w:szCs w:val="24"/>
          <w:vertAlign w:val="superscript"/>
          <w:lang w:eastAsia="pt-BR"/>
        </w:rPr>
        <w:t>6</w:t>
      </w:r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.</w:t>
      </w:r>
    </w:p>
    <w:p w:rsidR="00D23609" w:rsidRPr="00FA5288" w:rsidRDefault="00D23609" w:rsidP="00FA52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/>
          <w:sz w:val="24"/>
          <w:szCs w:val="24"/>
          <w:lang w:eastAsia="pt-BR"/>
        </w:rPr>
      </w:pPr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Diferentes intervenções são feitas ao redor do mundo para a cessação do habito de fumar, tanto medicamentosas como não medicamentosas. Existem diversas publicações relatando o impacto dessas intervenções, servindo de modelo e estimulo para sua repetição em outros cenários. Dentre as intervenções realizadas, </w:t>
      </w:r>
      <w:r w:rsidRPr="00E020EB">
        <w:rPr>
          <w:rFonts w:ascii="Times New Roman" w:eastAsia="TimesNewRomanPSMT" w:hAnsi="Times New Roman"/>
          <w:sz w:val="24"/>
          <w:szCs w:val="24"/>
          <w:lang w:eastAsia="pt-BR"/>
        </w:rPr>
        <w:t xml:space="preserve">encontram-se fármacos que promovem a cessação do tabagismo, a manutenção continuada da abstinência, o impedimento de recidivas, a redução dos sintomas da abstinência decorrentes da supressão do fumo e a diminuição do prazer associado ao ato de fumar. </w:t>
      </w:r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Em geral, os tratamentos farmacológicos atuais seguem diferentes mecanismos de ação no sistema nervoso central, provocando alterações positivas no individuo abstinente, reduzindo o desejo de fumar, a ansiedade e a compulsão, como no caso de alguns antidepressivos, ou mimetizando o efeito da própria nicotina, como no caso dos adesivos e goma de mascar</w:t>
      </w:r>
      <w:r>
        <w:rPr>
          <w:rFonts w:ascii="Times New Roman" w:eastAsia="TimesNewRomanPSMT" w:hAnsi="Times New Roman"/>
          <w:sz w:val="24"/>
          <w:szCs w:val="24"/>
          <w:vertAlign w:val="superscript"/>
          <w:lang w:eastAsia="pt-BR"/>
        </w:rPr>
        <w:t>7</w:t>
      </w:r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.</w:t>
      </w:r>
    </w:p>
    <w:p w:rsidR="00D23609" w:rsidRPr="00FA5288" w:rsidRDefault="00D23609" w:rsidP="00FA52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/>
          <w:sz w:val="24"/>
          <w:szCs w:val="24"/>
          <w:lang w:eastAsia="pt-BR"/>
        </w:rPr>
      </w:pPr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Como exemplo, pode-se citar a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bupropiona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, um medicamento com ação pro dopaminérgica que age no circuito de gratificação cerebral devido </w:t>
      </w:r>
      <w:proofErr w:type="gramStart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a</w:t>
      </w:r>
      <w:proofErr w:type="gram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 liberação aguda de dopamina no </w:t>
      </w:r>
      <w:r w:rsidRPr="00B64763">
        <w:rPr>
          <w:rFonts w:ascii="Times New Roman" w:eastAsia="TimesNewRomanPSMT" w:hAnsi="Times New Roman"/>
          <w:iCs/>
          <w:sz w:val="24"/>
          <w:szCs w:val="24"/>
          <w:lang w:eastAsia="pt-BR"/>
        </w:rPr>
        <w:t xml:space="preserve">núcleo </w:t>
      </w:r>
      <w:proofErr w:type="spellStart"/>
      <w:r w:rsidRPr="00B64763">
        <w:rPr>
          <w:rFonts w:ascii="Times New Roman" w:eastAsia="TimesNewRomanPSMT" w:hAnsi="Times New Roman"/>
          <w:iCs/>
          <w:sz w:val="24"/>
          <w:szCs w:val="24"/>
          <w:lang w:eastAsia="pt-BR"/>
        </w:rPr>
        <w:t>accumbens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, local responsável pelo efeito prazeroso do cigarro. Entretanto, a nicotina do cigarro possui uma ação muito mais aguda na liberação de dopamina, sendo tênue este efeito por parte da bupropiona</w:t>
      </w:r>
      <w:r>
        <w:rPr>
          <w:rFonts w:ascii="Times New Roman" w:eastAsia="TimesNewRomanPSMT" w:hAnsi="Times New Roman"/>
          <w:sz w:val="24"/>
          <w:szCs w:val="24"/>
          <w:vertAlign w:val="superscript"/>
          <w:lang w:eastAsia="pt-BR"/>
        </w:rPr>
        <w:t>8</w:t>
      </w:r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. Já a Terapia de Reposição da Nicotina (TRN) pode ser útil em muitos casos quando associada com a </w:t>
      </w:r>
      <w:proofErr w:type="gramStart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terapia</w:t>
      </w:r>
      <w:proofErr w:type="gram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-cognitivo comportamental (TCC). Segundo Gilbert e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Warburton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 </w:t>
      </w:r>
      <w:r w:rsidRPr="00B64763">
        <w:rPr>
          <w:rFonts w:ascii="Times New Roman" w:eastAsia="TimesNewRomanPSMT" w:hAnsi="Times New Roman"/>
          <w:iCs/>
          <w:sz w:val="24"/>
          <w:szCs w:val="24"/>
          <w:lang w:eastAsia="pt-BR"/>
        </w:rPr>
        <w:t>apud</w:t>
      </w:r>
      <w:r w:rsidRPr="00FA5288">
        <w:rPr>
          <w:rFonts w:ascii="Times New Roman" w:eastAsia="TimesNewRomanPSMT" w:hAnsi="Times New Roman"/>
          <w:i/>
          <w:iCs/>
          <w:sz w:val="24"/>
          <w:szCs w:val="24"/>
          <w:lang w:eastAsia="pt-BR"/>
        </w:rPr>
        <w:t xml:space="preserve"> </w:t>
      </w:r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Pedroso</w:t>
      </w:r>
      <w:r>
        <w:rPr>
          <w:rFonts w:ascii="Times New Roman" w:eastAsia="TimesNewRomanPSMT" w:hAnsi="Times New Roman"/>
          <w:sz w:val="24"/>
          <w:szCs w:val="24"/>
          <w:vertAlign w:val="superscript"/>
          <w:lang w:eastAsia="pt-BR"/>
        </w:rPr>
        <w:t>9</w:t>
      </w:r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 e colaboradores com o complemento da terapia não farmacológica (terapias comportamentais e aconselhamentos) ha a possibilidade de mudanças permanentes na cessação do fumo. Com relação à (TRN), a nicotina objetiva substituir, gradativamente, aquela dos cigarros, reduzindo os sintomas da abstinência que acompanham a cessação do fumo, auxiliando os fumantes. Já existem evidencias que ha uma maior eficácia no tratamento para cessação do tabagismo em </w:t>
      </w:r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lastRenderedPageBreak/>
        <w:t xml:space="preserve">indivíduos que reduzem o numero de cigarros consumidos em comparação </w:t>
      </w:r>
      <w:proofErr w:type="gramStart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aqueles</w:t>
      </w:r>
      <w:proofErr w:type="gram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 que realizam abstinência total</w:t>
      </w:r>
      <w:r>
        <w:rPr>
          <w:rFonts w:ascii="Times New Roman" w:eastAsia="TimesNewRomanPSMT" w:hAnsi="Times New Roman"/>
          <w:sz w:val="24"/>
          <w:szCs w:val="24"/>
          <w:vertAlign w:val="superscript"/>
          <w:lang w:eastAsia="pt-BR"/>
        </w:rPr>
        <w:t>10</w:t>
      </w:r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.</w:t>
      </w:r>
    </w:p>
    <w:p w:rsidR="00D23609" w:rsidRPr="00FA5288" w:rsidRDefault="00D23609" w:rsidP="00FA528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A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vareniclina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NewRomanPSMT" w:hAnsi="Times New Roman"/>
          <w:sz w:val="24"/>
          <w:szCs w:val="24"/>
          <w:lang w:eastAsia="pt-BR"/>
        </w:rPr>
        <w:t>é</w:t>
      </w:r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 um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psicofarmaco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 ao qual foi atribuído um novo mecanismo de ação. Seu diferencial em relação aos outros medicamentos seria que, além de diminuir os efeitos da abstinência da nicotina, o individuo não sentisse mais prazer na hora de fumar, diminuindo as incidências de recaídas. Com a comercialização da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vareniclina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 em 2007, objetivava-se obter um fármaco que, pela sua ação, propiciasse maiores possibilidades de eficácia na promoção de taxas maiores e mais prolongadas de abstinência. </w:t>
      </w:r>
    </w:p>
    <w:p w:rsidR="00D23609" w:rsidRPr="00FA5288" w:rsidRDefault="00D23609" w:rsidP="00FA5288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5288">
        <w:rPr>
          <w:rFonts w:ascii="Times New Roman" w:hAnsi="Times New Roman"/>
          <w:bCs/>
          <w:sz w:val="24"/>
          <w:szCs w:val="24"/>
        </w:rPr>
        <w:t>A farmacologia é subdividida em diversas áreas que se ramificam para viabilizar um estudo pormenorizado do binômio efeito/ação que substâncias exógenas exercem sobre um organismo vivo. Nesse contexto, a opção de estudo sobre ramo da farmacologia chamado toxicologia, mais especificamente toxicologia social, baseou-se na relevância do tema na atualidade e da necessidade de se formar recursos humanos aptos a discutir e trabalhar com essa abordagem.</w:t>
      </w:r>
    </w:p>
    <w:p w:rsidR="00D23609" w:rsidRPr="00FA5288" w:rsidRDefault="00D23609" w:rsidP="00FA528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A5288">
        <w:rPr>
          <w:rFonts w:ascii="Times New Roman" w:hAnsi="Times New Roman"/>
          <w:b/>
          <w:sz w:val="24"/>
          <w:szCs w:val="24"/>
        </w:rPr>
        <w:t>OBJETIVOS</w:t>
      </w:r>
    </w:p>
    <w:p w:rsidR="00D23609" w:rsidRPr="00FA5288" w:rsidRDefault="00D23609" w:rsidP="00FA5288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A5288">
        <w:rPr>
          <w:rFonts w:ascii="Times New Roman" w:hAnsi="Times New Roman"/>
          <w:bCs/>
          <w:sz w:val="24"/>
          <w:szCs w:val="24"/>
        </w:rPr>
        <w:tab/>
        <w:t xml:space="preserve">O presente estudo pretendeu avaliar o grau de conhecimento de discentes da área de saúde da Universidade Federal da Paraíba (UFPB) sobre o </w:t>
      </w:r>
      <w:proofErr w:type="spellStart"/>
      <w:r w:rsidRPr="00FA5288">
        <w:rPr>
          <w:rFonts w:ascii="Times New Roman" w:hAnsi="Times New Roman"/>
          <w:bCs/>
          <w:sz w:val="24"/>
          <w:szCs w:val="24"/>
        </w:rPr>
        <w:t>Champix</w:t>
      </w:r>
      <w:proofErr w:type="spellEnd"/>
      <w:r w:rsidRPr="00FA5288">
        <w:rPr>
          <w:rFonts w:ascii="Times New Roman" w:hAnsi="Times New Roman"/>
          <w:bCs/>
          <w:sz w:val="24"/>
          <w:szCs w:val="24"/>
        </w:rPr>
        <w:t xml:space="preserve"> antes e após exposição teórica acerca do tema, sendo um indicador do grau de difusão da temática do antitabagismo no meio acadêmico.</w:t>
      </w:r>
    </w:p>
    <w:p w:rsidR="00D23609" w:rsidRPr="00FA5288" w:rsidRDefault="00D23609" w:rsidP="00FA5288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FA5288">
        <w:rPr>
          <w:rFonts w:ascii="Times New Roman" w:hAnsi="Times New Roman"/>
          <w:b/>
          <w:caps/>
          <w:sz w:val="24"/>
          <w:szCs w:val="24"/>
        </w:rPr>
        <w:t>METODOLOGIA</w:t>
      </w:r>
    </w:p>
    <w:p w:rsidR="00D23609" w:rsidRPr="00FA5288" w:rsidRDefault="00D23609" w:rsidP="00FA5288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caps/>
          <w:color w:val="FF0000"/>
          <w:sz w:val="24"/>
          <w:szCs w:val="24"/>
        </w:rPr>
      </w:pPr>
      <w:r w:rsidRPr="00FA5288">
        <w:rPr>
          <w:rFonts w:ascii="Times New Roman" w:hAnsi="Times New Roman"/>
          <w:bCs/>
          <w:sz w:val="24"/>
          <w:szCs w:val="24"/>
        </w:rPr>
        <w:tab/>
        <w:t xml:space="preserve">O trabalho é parte integrante do Programa de </w:t>
      </w:r>
      <w:r>
        <w:rPr>
          <w:rFonts w:ascii="Times New Roman" w:hAnsi="Times New Roman"/>
          <w:bCs/>
          <w:sz w:val="24"/>
          <w:szCs w:val="24"/>
        </w:rPr>
        <w:t>Monitoria da Disciplina de Farmacologia da</w:t>
      </w:r>
      <w:r w:rsidRPr="00FA5288">
        <w:rPr>
          <w:rFonts w:ascii="Times New Roman" w:hAnsi="Times New Roman"/>
          <w:bCs/>
          <w:sz w:val="24"/>
          <w:szCs w:val="24"/>
        </w:rPr>
        <w:t xml:space="preserve"> UFPB sendo a população estudada composta pelas turmas de graduação de </w:t>
      </w:r>
      <w:proofErr w:type="spellStart"/>
      <w:r w:rsidRPr="00FA5288">
        <w:rPr>
          <w:rFonts w:ascii="Times New Roman" w:hAnsi="Times New Roman"/>
          <w:bCs/>
          <w:sz w:val="24"/>
          <w:szCs w:val="24"/>
        </w:rPr>
        <w:t>Efermagem</w:t>
      </w:r>
      <w:proofErr w:type="spellEnd"/>
      <w:r w:rsidRPr="00FA5288">
        <w:rPr>
          <w:rFonts w:ascii="Times New Roman" w:hAnsi="Times New Roman"/>
          <w:bCs/>
          <w:sz w:val="24"/>
          <w:szCs w:val="24"/>
        </w:rPr>
        <w:t xml:space="preserve"> e Odontologia cuja disciplina farmacologia apresentava-se em curso no período letivo 2011.2. Para avaliação do grau de conhecimento dos discentes sobre o </w:t>
      </w:r>
      <w:proofErr w:type="spellStart"/>
      <w:r w:rsidRPr="00FA5288">
        <w:rPr>
          <w:rFonts w:ascii="Times New Roman" w:hAnsi="Times New Roman"/>
          <w:bCs/>
          <w:sz w:val="24"/>
          <w:szCs w:val="24"/>
        </w:rPr>
        <w:t>Champix</w:t>
      </w:r>
      <w:proofErr w:type="spellEnd"/>
      <w:r w:rsidRPr="00FA5288">
        <w:rPr>
          <w:rFonts w:ascii="Times New Roman" w:hAnsi="Times New Roman"/>
          <w:bCs/>
          <w:sz w:val="24"/>
          <w:szCs w:val="24"/>
        </w:rPr>
        <w:t xml:space="preserve"> foi aplicado um questionário estruturado contendo 10 questões objetivas antes e após exposição teórica sobre o tema levando-se em consideração o conhecimento dos discentes acerca da origem, ação, relação risco-benefício e impacto social desse fármaco.</w:t>
      </w:r>
    </w:p>
    <w:p w:rsidR="00D23609" w:rsidRPr="00FA5288" w:rsidRDefault="00D23609" w:rsidP="00FA528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A5288">
        <w:rPr>
          <w:rFonts w:ascii="Times New Roman" w:hAnsi="Times New Roman"/>
          <w:b/>
          <w:sz w:val="24"/>
          <w:szCs w:val="24"/>
        </w:rPr>
        <w:t>RESULTADOS E DISCUSSÃO</w:t>
      </w:r>
    </w:p>
    <w:p w:rsidR="00D23609" w:rsidRPr="00FA5288" w:rsidRDefault="00D23609" w:rsidP="00FA528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5288">
        <w:rPr>
          <w:rFonts w:ascii="Times New Roman" w:hAnsi="Times New Roman"/>
          <w:sz w:val="24"/>
          <w:szCs w:val="24"/>
        </w:rPr>
        <w:t xml:space="preserve">Na turma de odontologia dos 26 alunos que responderam o questionário antes da apresentação nenhum atingiu a média 7.0, sendo a média total 2.84. Após a exposição do </w:t>
      </w:r>
      <w:r w:rsidRPr="00FA5288">
        <w:rPr>
          <w:rFonts w:ascii="Times New Roman" w:hAnsi="Times New Roman"/>
          <w:sz w:val="24"/>
          <w:szCs w:val="24"/>
        </w:rPr>
        <w:lastRenderedPageBreak/>
        <w:t xml:space="preserve">tema, 24 alunos atingiram média superior a 7.0 e a média total cresceu para 8.57, havendo um aumento de 57,36% no número de acertos.  Na turma de enfermagem dos 14 alunos que responderam o questionário antes da apresentação apenas </w:t>
      </w:r>
      <w:proofErr w:type="gramStart"/>
      <w:r w:rsidRPr="00FA5288">
        <w:rPr>
          <w:rFonts w:ascii="Times New Roman" w:hAnsi="Times New Roman"/>
          <w:sz w:val="24"/>
          <w:szCs w:val="24"/>
        </w:rPr>
        <w:t>1</w:t>
      </w:r>
      <w:proofErr w:type="gramEnd"/>
      <w:r w:rsidRPr="00FA5288">
        <w:rPr>
          <w:rFonts w:ascii="Times New Roman" w:hAnsi="Times New Roman"/>
          <w:sz w:val="24"/>
          <w:szCs w:val="24"/>
        </w:rPr>
        <w:t xml:space="preserve"> atingiu a média 7.0, a média total foi 4.0. Após a exposição do tema, 12 alunos atingiram média superior a 7.0 e a média total cresceu para 8.20, havendo um aumento de 42,10% no número de acertos. Somando as duas turmas houve um aumento de 130 acertos (32,5%) para 338 (84,5%) de um total de 400 questões (100%), </w:t>
      </w:r>
      <w:proofErr w:type="gramStart"/>
      <w:r w:rsidRPr="00FA5288">
        <w:rPr>
          <w:rFonts w:ascii="Times New Roman" w:hAnsi="Times New Roman"/>
          <w:sz w:val="24"/>
          <w:szCs w:val="24"/>
        </w:rPr>
        <w:t>ou seja</w:t>
      </w:r>
      <w:proofErr w:type="gramEnd"/>
      <w:r w:rsidRPr="00FA5288">
        <w:rPr>
          <w:rFonts w:ascii="Times New Roman" w:hAnsi="Times New Roman"/>
          <w:sz w:val="24"/>
          <w:szCs w:val="24"/>
        </w:rPr>
        <w:t xml:space="preserve"> um aumento de 52% relativo a aprendizagem.</w:t>
      </w:r>
    </w:p>
    <w:p w:rsidR="00D23609" w:rsidRPr="00761DA6" w:rsidRDefault="00D23609" w:rsidP="00761DA6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A5288">
        <w:rPr>
          <w:rFonts w:ascii="Times New Roman" w:hAnsi="Times New Roman"/>
          <w:bCs/>
          <w:sz w:val="24"/>
          <w:szCs w:val="24"/>
        </w:rPr>
        <w:t xml:space="preserve">O estudo apontou um alto grau de desconhecimento por parte dos alunos no que tange as drogas antitabagismo, tal fato reflete a necessidade da difusão desse ramo da farmacologia, visto que a população estudada é composta por futuros atores do sistema de saúde que devem, portanto, possuir o conhecimento básico necessário para atuar ativamente em uma sociedade onde a problemática do uso da nicotina ainda é uma realidade, demonstrando os riscos e as dificuldades de uma terapia antitabagismo, prevenindo dessa forma o uso da nicotina. </w:t>
      </w:r>
    </w:p>
    <w:p w:rsidR="00D23609" w:rsidRPr="00FA5288" w:rsidRDefault="00D23609" w:rsidP="00FA528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A5288">
        <w:rPr>
          <w:rFonts w:ascii="Times New Roman" w:hAnsi="Times New Roman"/>
          <w:b/>
          <w:sz w:val="24"/>
          <w:szCs w:val="24"/>
        </w:rPr>
        <w:t>CONCLUSÕES</w:t>
      </w:r>
    </w:p>
    <w:p w:rsidR="00D23609" w:rsidRPr="00FA5288" w:rsidRDefault="00D23609" w:rsidP="00FA5288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A5288">
        <w:rPr>
          <w:rFonts w:ascii="Times New Roman" w:hAnsi="Times New Roman"/>
          <w:bCs/>
          <w:sz w:val="24"/>
          <w:szCs w:val="24"/>
        </w:rPr>
        <w:t xml:space="preserve">O programa de iniciação a docência mostrou-se uma ferramenta relevante na propagação de temas que são muitas vezes marginalizados na formação ofertada pela disciplina, sendo esse fato comprovado pelo aumento médio 52% no número de acertos quando comparada ao estado inicial de conhecimento sobre </w:t>
      </w:r>
      <w:proofErr w:type="gramStart"/>
      <w:r w:rsidRPr="00FA5288">
        <w:rPr>
          <w:rFonts w:ascii="Times New Roman" w:hAnsi="Times New Roman"/>
          <w:bCs/>
          <w:sz w:val="24"/>
          <w:szCs w:val="24"/>
        </w:rPr>
        <w:t>a temática drogas</w:t>
      </w:r>
      <w:proofErr w:type="gramEnd"/>
      <w:r w:rsidRPr="00FA5288">
        <w:rPr>
          <w:rFonts w:ascii="Times New Roman" w:hAnsi="Times New Roman"/>
          <w:bCs/>
          <w:sz w:val="24"/>
          <w:szCs w:val="24"/>
        </w:rPr>
        <w:t xml:space="preserve"> antitabagismo.</w:t>
      </w:r>
    </w:p>
    <w:p w:rsidR="00D23609" w:rsidRPr="00FA5288" w:rsidRDefault="00D23609" w:rsidP="00FA52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 w:eastAsia="pt-BR"/>
        </w:rPr>
      </w:pPr>
      <w:r>
        <w:rPr>
          <w:rFonts w:ascii="Times New Roman" w:hAnsi="Times New Roman"/>
          <w:b/>
          <w:bCs/>
          <w:sz w:val="24"/>
          <w:szCs w:val="24"/>
          <w:lang w:val="en-US" w:eastAsia="pt-BR"/>
        </w:rPr>
        <w:t>REFERÊNCIAS</w:t>
      </w:r>
      <w:r>
        <w:rPr>
          <w:rFonts w:ascii="Times New Roman" w:hAnsi="Times New Roman"/>
          <w:b/>
          <w:bCs/>
          <w:sz w:val="24"/>
          <w:szCs w:val="24"/>
          <w:lang w:val="en-US" w:eastAsia="pt-BR"/>
        </w:rPr>
        <w:br/>
      </w:r>
    </w:p>
    <w:p w:rsidR="00D23609" w:rsidRPr="00FA5288" w:rsidRDefault="00D23609" w:rsidP="00FA52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  <w:lang w:val="en-US" w:eastAsia="pt-BR"/>
        </w:rPr>
      </w:pPr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 xml:space="preserve">1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>Laborin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 xml:space="preserve"> R. Smoking cessation intervention: an</w:t>
      </w:r>
      <w:r>
        <w:rPr>
          <w:rFonts w:ascii="Times New Roman" w:eastAsia="TimesNewRomanPSMT" w:hAnsi="Times New Roman"/>
          <w:sz w:val="24"/>
          <w:szCs w:val="24"/>
          <w:lang w:val="en-US" w:eastAsia="pt-BR"/>
        </w:rPr>
        <w:t xml:space="preserve"> evidence-based approach, 2010.</w:t>
      </w:r>
    </w:p>
    <w:p w:rsidR="00D23609" w:rsidRPr="00FA5288" w:rsidRDefault="00D23609" w:rsidP="00FA52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  <w:lang w:eastAsia="pt-BR"/>
        </w:rPr>
      </w:pPr>
      <w:proofErr w:type="gramStart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2</w:t>
      </w:r>
      <w:proofErr w:type="gram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 Dados do INCA Inquérito domic</w:t>
      </w:r>
      <w:r>
        <w:rPr>
          <w:rFonts w:ascii="Times New Roman" w:eastAsia="TimesNewRomanPSMT" w:hAnsi="Times New Roman"/>
          <w:sz w:val="24"/>
          <w:szCs w:val="24"/>
          <w:lang w:eastAsia="pt-BR"/>
        </w:rPr>
        <w:t>iliar realizado em 2002 e 2003.</w:t>
      </w:r>
    </w:p>
    <w:p w:rsidR="00D23609" w:rsidRPr="00FA5288" w:rsidRDefault="00D23609" w:rsidP="00FA52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  <w:lang w:val="en-US" w:eastAsia="pt-BR"/>
        </w:rPr>
      </w:pPr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 xml:space="preserve">3 World Health </w:t>
      </w:r>
      <w:proofErr w:type="gramStart"/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>Organization</w:t>
      </w:r>
      <w:proofErr w:type="gramEnd"/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 xml:space="preserve">. </w:t>
      </w:r>
      <w:proofErr w:type="gramStart"/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 xml:space="preserve">Institute for global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>tabacco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 xml:space="preserve"> control, Johns Hopkins School of Public Health.</w:t>
      </w:r>
      <w:proofErr w:type="gramEnd"/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 xml:space="preserve"> </w:t>
      </w:r>
      <w:proofErr w:type="gramStart"/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>Women and the Tobacco Epidemic.</w:t>
      </w:r>
      <w:proofErr w:type="gramEnd"/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 xml:space="preserve"> </w:t>
      </w:r>
      <w:proofErr w:type="gramStart"/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 xml:space="preserve">Challenges for the </w:t>
      </w:r>
      <w:smartTag w:uri="urn:schemas-microsoft-com:office:smarttags" w:element="metricconverter">
        <w:smartTagPr>
          <w:attr w:name="ProductID" w:val="21 st"/>
        </w:smartTagPr>
        <w:r w:rsidRPr="00FA5288">
          <w:rPr>
            <w:rFonts w:ascii="Times New Roman" w:eastAsia="TimesNewRomanPSMT" w:hAnsi="Times New Roman"/>
            <w:sz w:val="24"/>
            <w:szCs w:val="24"/>
            <w:lang w:val="en-US" w:eastAsia="pt-BR"/>
          </w:rPr>
          <w:t xml:space="preserve">21 </w:t>
        </w:r>
        <w:proofErr w:type="spellStart"/>
        <w:r w:rsidRPr="00FA5288">
          <w:rPr>
            <w:rFonts w:ascii="Times New Roman" w:eastAsia="TimesNewRomanPSMT" w:hAnsi="Times New Roman"/>
            <w:sz w:val="24"/>
            <w:szCs w:val="24"/>
            <w:lang w:val="en-US" w:eastAsia="pt-BR"/>
          </w:rPr>
          <w:t>st</w:t>
        </w:r>
      </w:smartTag>
      <w:proofErr w:type="spellEnd"/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 xml:space="preserve"> Century.</w:t>
      </w:r>
      <w:proofErr w:type="gramEnd"/>
    </w:p>
    <w:p w:rsidR="00D23609" w:rsidRPr="00FA5288" w:rsidRDefault="00D23609" w:rsidP="00FA52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  <w:lang w:val="en-US" w:eastAsia="pt-BR"/>
        </w:rPr>
      </w:pPr>
      <w:smartTag w:uri="urn:schemas-microsoft-com:office:smarttags" w:element="place">
        <w:smartTag w:uri="urn:schemas-microsoft-com:office:smarttags" w:element="City">
          <w:r w:rsidRPr="00FA5288">
            <w:rPr>
              <w:rFonts w:ascii="Times New Roman" w:eastAsia="TimesNewRomanPSMT" w:hAnsi="Times New Roman"/>
              <w:sz w:val="24"/>
              <w:szCs w:val="24"/>
              <w:lang w:val="en-US" w:eastAsia="pt-BR"/>
            </w:rPr>
            <w:t>Geneva</w:t>
          </w:r>
        </w:smartTag>
      </w:smartTag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>: WHO, 2001, 234 p.</w:t>
      </w:r>
    </w:p>
    <w:p w:rsidR="00D23609" w:rsidRPr="00FA5288" w:rsidRDefault="00D23609" w:rsidP="00FA52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  <w:lang w:eastAsia="pt-BR"/>
        </w:rPr>
      </w:pPr>
      <w:r w:rsidRPr="00A85E97">
        <w:rPr>
          <w:rFonts w:ascii="Times New Roman" w:eastAsia="TimesNewRomanPSMT" w:hAnsi="Times New Roman"/>
          <w:sz w:val="24"/>
          <w:szCs w:val="24"/>
          <w:lang w:val="en-US" w:eastAsia="pt-BR"/>
        </w:rPr>
        <w:t xml:space="preserve">4 </w:t>
      </w:r>
      <w:smartTag w:uri="urn:schemas-microsoft-com:office:smarttags" w:element="place">
        <w:smartTag w:uri="urn:schemas-microsoft-com:office:smarttags" w:element="country-region">
          <w:r w:rsidRPr="00A85E97">
            <w:rPr>
              <w:rFonts w:ascii="Times New Roman" w:eastAsia="TimesNewRomanPSMT" w:hAnsi="Times New Roman"/>
              <w:sz w:val="24"/>
              <w:szCs w:val="24"/>
              <w:lang w:val="en-US" w:eastAsia="pt-BR"/>
            </w:rPr>
            <w:t>Frances</w:t>
          </w:r>
        </w:smartTag>
      </w:smartTag>
      <w:r w:rsidRPr="00A85E97">
        <w:rPr>
          <w:rFonts w:ascii="Times New Roman" w:eastAsia="TimesNewRomanPSMT" w:hAnsi="Times New Roman"/>
          <w:sz w:val="24"/>
          <w:szCs w:val="24"/>
          <w:lang w:val="en-US" w:eastAsia="pt-BR"/>
        </w:rPr>
        <w:t xml:space="preserve"> RJ, Franklin JR JE. </w:t>
      </w:r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Transtornos por uso de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alcool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 e outras substancias psicoativas. In: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Talbot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 J, Hales R,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Yudofsky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 S, eds. Tratado de psiquiatria. Port</w:t>
      </w:r>
      <w:r>
        <w:rPr>
          <w:rFonts w:ascii="Times New Roman" w:eastAsia="TimesNewRomanPSMT" w:hAnsi="Times New Roman"/>
          <w:sz w:val="24"/>
          <w:szCs w:val="24"/>
          <w:lang w:eastAsia="pt-BR"/>
        </w:rPr>
        <w:t>o Alegre: Artmed; 1992. p. 235.</w:t>
      </w:r>
    </w:p>
    <w:p w:rsidR="00D23609" w:rsidRPr="00FA5288" w:rsidRDefault="00D23609" w:rsidP="00FA52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  <w:lang w:eastAsia="pt-BR"/>
        </w:rPr>
      </w:pPr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5 Salgado CAI,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Zubaran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 C, Abreu PB.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Interacoes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farmacologicas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 relevantes entre drogas de abuso e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psicofarmacos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. In: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Marcolin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 MA, ed.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Interacoes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farmacologicas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 com drogas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psiquiatricas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. Rio d</w:t>
      </w:r>
      <w:r>
        <w:rPr>
          <w:rFonts w:ascii="Times New Roman" w:eastAsia="TimesNewRomanPSMT" w:hAnsi="Times New Roman"/>
          <w:sz w:val="24"/>
          <w:szCs w:val="24"/>
          <w:lang w:eastAsia="pt-BR"/>
        </w:rPr>
        <w:t xml:space="preserve">e Janeiro: </w:t>
      </w:r>
      <w:proofErr w:type="spellStart"/>
      <w:r>
        <w:rPr>
          <w:rFonts w:ascii="Times New Roman" w:eastAsia="TimesNewRomanPSMT" w:hAnsi="Times New Roman"/>
          <w:sz w:val="24"/>
          <w:szCs w:val="24"/>
          <w:lang w:eastAsia="pt-BR"/>
        </w:rPr>
        <w:t>Medsi</w:t>
      </w:r>
      <w:proofErr w:type="spellEnd"/>
      <w:r>
        <w:rPr>
          <w:rFonts w:ascii="Times New Roman" w:eastAsia="TimesNewRomanPSMT" w:hAnsi="Times New Roman"/>
          <w:sz w:val="24"/>
          <w:szCs w:val="24"/>
          <w:lang w:eastAsia="pt-BR"/>
        </w:rPr>
        <w:t>; 1988. p. 227.</w:t>
      </w:r>
    </w:p>
    <w:p w:rsidR="00D23609" w:rsidRPr="00FA5288" w:rsidRDefault="00D23609" w:rsidP="00FA52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  <w:lang w:eastAsia="pt-BR"/>
        </w:rPr>
      </w:pPr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lastRenderedPageBreak/>
        <w:t xml:space="preserve">6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Horimotl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 F,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Bevilaquall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 M e cols. Relato de casos. Revista de Psiquiatria do Rio Grande do Sul, v. 29 n.2</w:t>
      </w:r>
      <w:r>
        <w:rPr>
          <w:rFonts w:ascii="Times New Roman" w:eastAsia="TimesNewRomanPSMT" w:hAnsi="Times New Roman"/>
          <w:sz w:val="24"/>
          <w:szCs w:val="24"/>
          <w:lang w:eastAsia="pt-BR"/>
        </w:rPr>
        <w:t xml:space="preserve"> Porto Alegre maio/agosto 2007.</w:t>
      </w:r>
    </w:p>
    <w:p w:rsidR="00D23609" w:rsidRPr="00FA5288" w:rsidRDefault="00D23609" w:rsidP="00FA52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  <w:lang w:eastAsia="pt-BR"/>
        </w:rPr>
      </w:pPr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7 Meirelles RHH, Cavalcante TM. Quais politicas de controle do tabagismo um pais deve ter para chegar a um tratamento eficaz? In: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Gigliotti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 AP,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Presman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 S.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Atualizacao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 no tratamento do tabagismo. Rio de Janeiro: ABP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Saude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; 2006. p.184.</w:t>
      </w:r>
    </w:p>
    <w:p w:rsidR="00D23609" w:rsidRPr="00FA5288" w:rsidRDefault="00D23609" w:rsidP="00FA52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  <w:lang w:eastAsia="pt-BR"/>
        </w:rPr>
      </w:pPr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8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Horimoto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 FC, Pinto MA. Uso de Antidepressivos pelo clinico. </w:t>
      </w:r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 xml:space="preserve">In: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>Horimoto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 xml:space="preserve"> FC,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>Ayache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 xml:space="preserve"> DCG, Souza JA, Eds.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Depressao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 diagnostico e tratamento pelo clinico.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Sao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 Paulo: Roca =; 2005. p. 139.</w:t>
      </w:r>
    </w:p>
    <w:p w:rsidR="00D23609" w:rsidRPr="00FA5288" w:rsidRDefault="00D23609" w:rsidP="00FA52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  <w:lang w:val="en-US" w:eastAsia="pt-BR"/>
        </w:rPr>
      </w:pPr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9 Pedroso RS, Oliveira MS,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Araujo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 RB, Castro MG, Melo WV. Expectativas de resultados frente ao uso de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>alcool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eastAsia="pt-BR"/>
        </w:rPr>
        <w:t xml:space="preserve">, maconha e tabaco. </w:t>
      </w:r>
      <w:r>
        <w:rPr>
          <w:rFonts w:ascii="Times New Roman" w:eastAsia="TimesNewRomanPSMT" w:hAnsi="Times New Roman"/>
          <w:sz w:val="24"/>
          <w:szCs w:val="24"/>
          <w:lang w:val="en-US" w:eastAsia="pt-BR"/>
        </w:rPr>
        <w:t>RS. 2006; 28(2):198-206</w:t>
      </w:r>
    </w:p>
    <w:p w:rsidR="00D23609" w:rsidRPr="00FA5288" w:rsidRDefault="00D23609" w:rsidP="00FA52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  <w:lang w:val="en-US" w:eastAsia="pt-BR"/>
        </w:rPr>
      </w:pPr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 xml:space="preserve">10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>Etter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 xml:space="preserve"> JF, Laszlo E,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>Zellweger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 xml:space="preserve"> JP, Perrot C,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>Perneger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 xml:space="preserve"> TV. Nicotine replacement to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>rduce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 xml:space="preserve"> cigarette consumption in smokers Who are unwilling to quit: a randomized Trial. J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>Clin</w:t>
      </w:r>
      <w:proofErr w:type="spellEnd"/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 xml:space="preserve"> </w:t>
      </w:r>
      <w:proofErr w:type="spellStart"/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>Psyc</w:t>
      </w:r>
      <w:r>
        <w:rPr>
          <w:rFonts w:ascii="Times New Roman" w:eastAsia="TimesNewRomanPSMT" w:hAnsi="Times New Roman"/>
          <w:sz w:val="24"/>
          <w:szCs w:val="24"/>
          <w:lang w:val="en-US" w:eastAsia="pt-BR"/>
        </w:rPr>
        <w:t>hopharmacol</w:t>
      </w:r>
      <w:proofErr w:type="spellEnd"/>
      <w:r>
        <w:rPr>
          <w:rFonts w:ascii="Times New Roman" w:eastAsia="TimesNewRomanPSMT" w:hAnsi="Times New Roman"/>
          <w:sz w:val="24"/>
          <w:szCs w:val="24"/>
          <w:lang w:val="en-US" w:eastAsia="pt-BR"/>
        </w:rPr>
        <w:t>. 2002;22(5):487-95.</w:t>
      </w:r>
    </w:p>
    <w:p w:rsidR="00D23609" w:rsidRPr="00FA5288" w:rsidRDefault="00D23609" w:rsidP="00FA52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  <w:lang w:val="en-US" w:eastAsia="pt-BR"/>
        </w:rPr>
      </w:pPr>
      <w:r w:rsidRPr="00FA5288">
        <w:rPr>
          <w:rFonts w:ascii="Times New Roman" w:eastAsia="TimesNewRomanPSMT" w:hAnsi="Times New Roman"/>
          <w:sz w:val="24"/>
          <w:szCs w:val="24"/>
          <w:lang w:val="en-US" w:eastAsia="pt-BR"/>
        </w:rPr>
        <w:t>promotes smoking cessation: results from a double-blind, randomized placebo-controlled 24 trial of nicotine gun with a 2-year follow-up. Addiction. 2003;98(10):1395-402.</w:t>
      </w:r>
    </w:p>
    <w:sectPr w:rsidR="00D23609" w:rsidRPr="00FA5288" w:rsidSect="001F5DEE">
      <w:headerReference w:type="default" r:id="rId10"/>
      <w:footerReference w:type="default" r:id="rId11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91C" w:rsidRDefault="001B491C" w:rsidP="00B64763">
      <w:pPr>
        <w:spacing w:after="0" w:line="240" w:lineRule="auto"/>
      </w:pPr>
      <w:r>
        <w:separator/>
      </w:r>
    </w:p>
  </w:endnote>
  <w:endnote w:type="continuationSeparator" w:id="0">
    <w:p w:rsidR="001B491C" w:rsidRDefault="001B491C" w:rsidP="00B6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609" w:rsidRDefault="00D23609">
    <w:pPr>
      <w:pStyle w:val="Rodap"/>
      <w:jc w:val="right"/>
    </w:pPr>
  </w:p>
  <w:p w:rsidR="00D23609" w:rsidRDefault="00D236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91C" w:rsidRDefault="001B491C" w:rsidP="00B64763">
      <w:pPr>
        <w:spacing w:after="0" w:line="240" w:lineRule="auto"/>
      </w:pPr>
      <w:r>
        <w:separator/>
      </w:r>
    </w:p>
  </w:footnote>
  <w:footnote w:type="continuationSeparator" w:id="0">
    <w:p w:rsidR="001B491C" w:rsidRDefault="001B491C" w:rsidP="00B64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609" w:rsidRPr="00B64763" w:rsidRDefault="00D23609">
    <w:pPr>
      <w:pStyle w:val="Cabealho"/>
      <w:jc w:val="right"/>
      <w:rPr>
        <w:rFonts w:ascii="Times New Roman" w:hAnsi="Times New Roman"/>
        <w:sz w:val="24"/>
        <w:szCs w:val="24"/>
      </w:rPr>
    </w:pPr>
    <w:r w:rsidRPr="00B64763">
      <w:rPr>
        <w:rFonts w:ascii="Times New Roman" w:hAnsi="Times New Roman"/>
        <w:sz w:val="24"/>
        <w:szCs w:val="24"/>
      </w:rPr>
      <w:fldChar w:fldCharType="begin"/>
    </w:r>
    <w:r w:rsidRPr="00B64763">
      <w:rPr>
        <w:rFonts w:ascii="Times New Roman" w:hAnsi="Times New Roman"/>
        <w:sz w:val="24"/>
        <w:szCs w:val="24"/>
      </w:rPr>
      <w:instrText>PAGE   \* MERGEFORMAT</w:instrText>
    </w:r>
    <w:r w:rsidRPr="00B64763">
      <w:rPr>
        <w:rFonts w:ascii="Times New Roman" w:hAnsi="Times New Roman"/>
        <w:sz w:val="24"/>
        <w:szCs w:val="24"/>
      </w:rPr>
      <w:fldChar w:fldCharType="separate"/>
    </w:r>
    <w:r w:rsidR="009E075F">
      <w:rPr>
        <w:rFonts w:ascii="Times New Roman" w:hAnsi="Times New Roman"/>
        <w:noProof/>
        <w:sz w:val="24"/>
        <w:szCs w:val="24"/>
      </w:rPr>
      <w:t>1</w:t>
    </w:r>
    <w:r w:rsidRPr="00B64763">
      <w:rPr>
        <w:rFonts w:ascii="Times New Roman" w:hAnsi="Times New Roman"/>
        <w:sz w:val="24"/>
        <w:szCs w:val="24"/>
      </w:rPr>
      <w:fldChar w:fldCharType="end"/>
    </w:r>
  </w:p>
  <w:p w:rsidR="00D23609" w:rsidRDefault="00D23609" w:rsidP="00B64763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604C"/>
    <w:multiLevelType w:val="hybridMultilevel"/>
    <w:tmpl w:val="7692490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755247"/>
    <w:multiLevelType w:val="hybridMultilevel"/>
    <w:tmpl w:val="E076BE5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0E"/>
    <w:rsid w:val="00016EBC"/>
    <w:rsid w:val="0007102A"/>
    <w:rsid w:val="001179C0"/>
    <w:rsid w:val="001222A6"/>
    <w:rsid w:val="00133F30"/>
    <w:rsid w:val="001354DC"/>
    <w:rsid w:val="001748FC"/>
    <w:rsid w:val="001A160B"/>
    <w:rsid w:val="001A79FD"/>
    <w:rsid w:val="001B491C"/>
    <w:rsid w:val="001C072B"/>
    <w:rsid w:val="001E0019"/>
    <w:rsid w:val="001F5DEE"/>
    <w:rsid w:val="0025314F"/>
    <w:rsid w:val="00255D0E"/>
    <w:rsid w:val="00267445"/>
    <w:rsid w:val="002E09CD"/>
    <w:rsid w:val="00311C0C"/>
    <w:rsid w:val="0035146E"/>
    <w:rsid w:val="003D5B29"/>
    <w:rsid w:val="003F6F05"/>
    <w:rsid w:val="00420B77"/>
    <w:rsid w:val="00433B57"/>
    <w:rsid w:val="00443BEE"/>
    <w:rsid w:val="00485B6C"/>
    <w:rsid w:val="00492B1E"/>
    <w:rsid w:val="004E5579"/>
    <w:rsid w:val="00573FD6"/>
    <w:rsid w:val="005965AB"/>
    <w:rsid w:val="005B1E71"/>
    <w:rsid w:val="00652CAA"/>
    <w:rsid w:val="00741655"/>
    <w:rsid w:val="00761DA6"/>
    <w:rsid w:val="007C0A5B"/>
    <w:rsid w:val="008B0362"/>
    <w:rsid w:val="008C20ED"/>
    <w:rsid w:val="00903706"/>
    <w:rsid w:val="009046B0"/>
    <w:rsid w:val="009474D9"/>
    <w:rsid w:val="00961684"/>
    <w:rsid w:val="00983598"/>
    <w:rsid w:val="009D3867"/>
    <w:rsid w:val="009E075F"/>
    <w:rsid w:val="009F4166"/>
    <w:rsid w:val="00A628D5"/>
    <w:rsid w:val="00A85E97"/>
    <w:rsid w:val="00AC47D8"/>
    <w:rsid w:val="00B1608E"/>
    <w:rsid w:val="00B64763"/>
    <w:rsid w:val="00C37303"/>
    <w:rsid w:val="00CB5797"/>
    <w:rsid w:val="00CE1C0D"/>
    <w:rsid w:val="00CE2919"/>
    <w:rsid w:val="00CE6192"/>
    <w:rsid w:val="00D070FE"/>
    <w:rsid w:val="00D11153"/>
    <w:rsid w:val="00D23609"/>
    <w:rsid w:val="00D248B7"/>
    <w:rsid w:val="00DB03FE"/>
    <w:rsid w:val="00E020EB"/>
    <w:rsid w:val="00E30B39"/>
    <w:rsid w:val="00E325E1"/>
    <w:rsid w:val="00E85812"/>
    <w:rsid w:val="00EE4D01"/>
    <w:rsid w:val="00F94BAC"/>
    <w:rsid w:val="00FA0C1D"/>
    <w:rsid w:val="00FA5288"/>
    <w:rsid w:val="00FB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166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link w:val="Ttulo1Char"/>
    <w:uiPriority w:val="99"/>
    <w:qFormat/>
    <w:rsid w:val="005B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B1E71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99"/>
    <w:qFormat/>
    <w:rsid w:val="00255D0E"/>
    <w:pPr>
      <w:ind w:left="720"/>
      <w:contextualSpacing/>
    </w:pPr>
  </w:style>
  <w:style w:type="character" w:styleId="Hyperlink">
    <w:name w:val="Hyperlink"/>
    <w:basedOn w:val="Fontepargpadro"/>
    <w:uiPriority w:val="99"/>
    <w:rsid w:val="00255D0E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99"/>
    <w:qFormat/>
    <w:rsid w:val="001E0019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9037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B64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64763"/>
    <w:rPr>
      <w:rFonts w:cs="Times New Roman"/>
    </w:rPr>
  </w:style>
  <w:style w:type="paragraph" w:styleId="Rodap">
    <w:name w:val="footer"/>
    <w:basedOn w:val="Normal"/>
    <w:link w:val="RodapChar"/>
    <w:uiPriority w:val="99"/>
    <w:rsid w:val="00B64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B6476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B6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64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166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link w:val="Ttulo1Char"/>
    <w:uiPriority w:val="99"/>
    <w:qFormat/>
    <w:rsid w:val="005B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B1E71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99"/>
    <w:qFormat/>
    <w:rsid w:val="00255D0E"/>
    <w:pPr>
      <w:ind w:left="720"/>
      <w:contextualSpacing/>
    </w:pPr>
  </w:style>
  <w:style w:type="character" w:styleId="Hyperlink">
    <w:name w:val="Hyperlink"/>
    <w:basedOn w:val="Fontepargpadro"/>
    <w:uiPriority w:val="99"/>
    <w:rsid w:val="00255D0E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99"/>
    <w:qFormat/>
    <w:rsid w:val="001E0019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9037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B64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64763"/>
    <w:rPr>
      <w:rFonts w:cs="Times New Roman"/>
    </w:rPr>
  </w:style>
  <w:style w:type="paragraph" w:styleId="Rodap">
    <w:name w:val="footer"/>
    <w:basedOn w:val="Normal"/>
    <w:link w:val="RodapChar"/>
    <w:uiPriority w:val="99"/>
    <w:rsid w:val="00B64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B6476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B6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64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2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abreDetalhe('K4769410J8','Katy_L&#237;sias_Gondim_Dias_de_Albuquerque',177215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1616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ELUCIDAÇÃO DA RELAÇÃO DO RISCO-BENEFÍCIO NA TERAPIA ANTITABAGISMO COM CHAMPIX PARA DISCENTES DA UFPB</vt:lpstr>
    </vt:vector>
  </TitlesOfParts>
  <Company>Hewlett-Packard</Company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ELUCIDAÇÃO DA RELAÇÃO DO RISCO-BENEFÍCIO NA TERAPIA ANTITABAGISMO COM CHAMPIX PARA DISCENTES DA UFPB</dc:title>
  <dc:creator>Renan</dc:creator>
  <cp:lastModifiedBy>Cris Hirsch</cp:lastModifiedBy>
  <cp:revision>3</cp:revision>
  <dcterms:created xsi:type="dcterms:W3CDTF">2013-10-30T10:02:00Z</dcterms:created>
  <dcterms:modified xsi:type="dcterms:W3CDTF">2013-10-30T12:00:00Z</dcterms:modified>
</cp:coreProperties>
</file>